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FC" w:rsidRPr="00C01AFC" w:rsidRDefault="00C01AFC" w:rsidP="00C01AFC">
      <w:pPr>
        <w:spacing w:beforeLines="1" w:afterLines="1"/>
        <w:jc w:val="center"/>
        <w:outlineLvl w:val="0"/>
        <w:rPr>
          <w:rFonts w:ascii="Times" w:hAnsi="Times"/>
          <w:b/>
          <w:kern w:val="36"/>
          <w:sz w:val="48"/>
          <w:szCs w:val="20"/>
          <w:lang w:eastAsia="it-IT"/>
        </w:rPr>
      </w:pPr>
      <w:r w:rsidRPr="00C01AFC">
        <w:rPr>
          <w:rFonts w:ascii="Times" w:hAnsi="Times"/>
          <w:b/>
          <w:kern w:val="36"/>
          <w:sz w:val="48"/>
          <w:szCs w:val="20"/>
          <w:lang w:eastAsia="it-IT"/>
        </w:rPr>
        <w:t xml:space="preserve">Articolo </w:t>
      </w:r>
      <w:proofErr w:type="gramStart"/>
      <w:r w:rsidRPr="00C01AFC">
        <w:rPr>
          <w:rFonts w:ascii="Times" w:hAnsi="Times"/>
          <w:b/>
          <w:kern w:val="36"/>
          <w:sz w:val="48"/>
          <w:szCs w:val="20"/>
          <w:lang w:eastAsia="it-IT"/>
        </w:rPr>
        <w:t>50</w:t>
      </w:r>
      <w:proofErr w:type="gramEnd"/>
      <w:r w:rsidRPr="00C01AFC">
        <w:rPr>
          <w:rFonts w:ascii="Times" w:hAnsi="Times"/>
          <w:b/>
          <w:kern w:val="36"/>
          <w:sz w:val="48"/>
          <w:szCs w:val="20"/>
          <w:lang w:eastAsia="it-IT"/>
        </w:rPr>
        <w:t xml:space="preserve"> Legge sull'ordinamento penitenziario</w:t>
      </w:r>
    </w:p>
    <w:p w:rsidR="00C01AFC" w:rsidRPr="00C01AFC" w:rsidRDefault="00C01AFC" w:rsidP="00C01AFC">
      <w:pPr>
        <w:spacing w:beforeLines="1" w:afterLines="1"/>
        <w:jc w:val="center"/>
        <w:outlineLvl w:val="1"/>
        <w:rPr>
          <w:rFonts w:ascii="Times" w:hAnsi="Times"/>
          <w:b/>
          <w:sz w:val="36"/>
          <w:szCs w:val="20"/>
          <w:lang w:eastAsia="it-IT"/>
        </w:rPr>
      </w:pPr>
      <w:r w:rsidRPr="00C01AFC">
        <w:rPr>
          <w:rFonts w:ascii="Times" w:hAnsi="Times"/>
          <w:b/>
          <w:sz w:val="36"/>
          <w:szCs w:val="20"/>
          <w:lang w:eastAsia="it-IT"/>
        </w:rPr>
        <w:t>(L. 26 luglio 1975, n. 354)</w:t>
      </w:r>
    </w:p>
    <w:p w:rsidR="00C01AFC" w:rsidRPr="00C01AFC" w:rsidRDefault="00C01AFC" w:rsidP="00C01AFC">
      <w:pPr>
        <w:jc w:val="center"/>
        <w:rPr>
          <w:rFonts w:ascii="Times" w:hAnsi="Times"/>
          <w:sz w:val="20"/>
          <w:szCs w:val="20"/>
          <w:lang w:eastAsia="it-IT"/>
        </w:rPr>
      </w:pPr>
      <w:proofErr w:type="gramStart"/>
      <w:r w:rsidRPr="00C01AFC">
        <w:rPr>
          <w:rFonts w:ascii="Times" w:hAnsi="Times"/>
          <w:sz w:val="15"/>
          <w:szCs w:val="20"/>
          <w:lang w:eastAsia="it-IT"/>
        </w:rPr>
        <w:t>[Aggiornato</w:t>
      </w:r>
      <w:proofErr w:type="gramEnd"/>
      <w:r w:rsidRPr="00C01AFC">
        <w:rPr>
          <w:rFonts w:ascii="Times" w:hAnsi="Times"/>
          <w:sz w:val="15"/>
          <w:szCs w:val="20"/>
          <w:lang w:eastAsia="it-IT"/>
        </w:rPr>
        <w:t xml:space="preserve"> al 20/03/2025]</w:t>
      </w:r>
    </w:p>
    <w:p w:rsidR="00C01AFC" w:rsidRPr="00C01AFC" w:rsidRDefault="00C01AFC" w:rsidP="00C01AFC">
      <w:pPr>
        <w:spacing w:beforeLines="1" w:afterLines="1"/>
        <w:jc w:val="center"/>
        <w:outlineLvl w:val="2"/>
        <w:rPr>
          <w:rFonts w:ascii="Times" w:hAnsi="Times"/>
          <w:b/>
          <w:sz w:val="27"/>
          <w:szCs w:val="20"/>
          <w:lang w:eastAsia="it-IT"/>
        </w:rPr>
      </w:pPr>
      <w:r w:rsidRPr="00C01AFC">
        <w:rPr>
          <w:rFonts w:ascii="Times" w:hAnsi="Times"/>
          <w:b/>
          <w:sz w:val="27"/>
          <w:szCs w:val="20"/>
          <w:lang w:eastAsia="it-IT"/>
        </w:rPr>
        <w:t>Ammissione alla semilibertà</w:t>
      </w:r>
    </w:p>
    <w:p w:rsidR="00F4158C" w:rsidRDefault="00F4158C" w:rsidP="00F4158C">
      <w:pPr>
        <w:jc w:val="center"/>
      </w:pPr>
    </w:p>
    <w:p w:rsidR="00F4158C" w:rsidRDefault="00F4158C" w:rsidP="00F4158C">
      <w:pPr>
        <w:jc w:val="center"/>
      </w:pPr>
    </w:p>
    <w:p w:rsidR="00C01AFC" w:rsidRDefault="00C01AFC" w:rsidP="00C01AFC">
      <w:pPr>
        <w:pStyle w:val="comma"/>
        <w:spacing w:before="2" w:after="2"/>
        <w:rPr>
          <w:rFonts w:cs="Times New Roman"/>
        </w:rPr>
      </w:pPr>
      <w:r>
        <w:rPr>
          <w:rFonts w:cs="Times New Roman"/>
        </w:rPr>
        <w:t xml:space="preserve">1. </w:t>
      </w:r>
      <w:proofErr w:type="gramStart"/>
      <w:r>
        <w:rPr>
          <w:rFonts w:cs="Times New Roman"/>
        </w:rPr>
        <w:t>Possono</w:t>
      </w:r>
      <w:proofErr w:type="gramEnd"/>
      <w:r>
        <w:rPr>
          <w:rFonts w:cs="Times New Roman"/>
        </w:rPr>
        <w:t xml:space="preserve"> essere espiate in regime di semilibertà la pena dell'arresto e la pena della reclusione non superiore a sei mesi, se il condannato non è affidato in prova al servizio sociale.</w:t>
      </w:r>
    </w:p>
    <w:p w:rsidR="00C01AFC" w:rsidRDefault="00C01AFC" w:rsidP="00C01AFC">
      <w:pPr>
        <w:pStyle w:val="comma"/>
        <w:spacing w:before="2" w:after="2"/>
        <w:rPr>
          <w:rFonts w:cs="Times New Roman"/>
        </w:rPr>
      </w:pPr>
      <w:r>
        <w:rPr>
          <w:rFonts w:cs="Times New Roman"/>
        </w:rPr>
        <w:t xml:space="preserve">2. Fuori dei casi previsti dal comma </w:t>
      </w:r>
      <w:proofErr w:type="gramStart"/>
      <w:r>
        <w:rPr>
          <w:rFonts w:cs="Times New Roman"/>
        </w:rPr>
        <w:t>1</w:t>
      </w:r>
      <w:proofErr w:type="gramEnd"/>
      <w:r>
        <w:rPr>
          <w:rFonts w:cs="Times New Roman"/>
        </w:rPr>
        <w:t xml:space="preserve">, il condannato può essere ammesso al regime di semilibertà soltanto dopo l'espiazione di almeno metà della pena ovvero, se si tratta di condannato per taluno dei delitti indicati nei commi 1, 1-ter e 1quater dell'articolo </w:t>
      </w:r>
      <w:hyperlink r:id="rId4" w:history="1">
        <w:r>
          <w:rPr>
            <w:rStyle w:val="Collegamentoipertestuale"/>
            <w:rFonts w:cs="Times New Roman"/>
          </w:rPr>
          <w:t>4 bis</w:t>
        </w:r>
      </w:hyperlink>
      <w:r>
        <w:rPr>
          <w:rFonts w:cs="Times New Roman"/>
        </w:rPr>
        <w:t xml:space="preserve">, di almeno due terzi di essa. L'internato può esservi ammesso in ogni tempo. Tuttavia, nei casi previsti dall'articolo </w:t>
      </w:r>
      <w:hyperlink r:id="rId5" w:history="1">
        <w:r>
          <w:rPr>
            <w:rStyle w:val="Collegamentoipertestuale"/>
            <w:rFonts w:cs="Times New Roman"/>
          </w:rPr>
          <w:t>47</w:t>
        </w:r>
      </w:hyperlink>
      <w:r>
        <w:rPr>
          <w:rFonts w:cs="Times New Roman"/>
        </w:rPr>
        <w:t xml:space="preserve">, se mancano i presupposti per l'affidamento in prova al servizio sociale, il condannato per un reato diverso da quelli indicati nel comma </w:t>
      </w:r>
      <w:proofErr w:type="gramStart"/>
      <w:r>
        <w:rPr>
          <w:rFonts w:cs="Times New Roman"/>
        </w:rPr>
        <w:t>1</w:t>
      </w:r>
      <w:proofErr w:type="gramEnd"/>
      <w:r>
        <w:rPr>
          <w:rFonts w:cs="Times New Roman"/>
        </w:rPr>
        <w:t xml:space="preserve"> dell'articolo </w:t>
      </w:r>
      <w:hyperlink r:id="rId6" w:history="1">
        <w:r>
          <w:rPr>
            <w:rStyle w:val="Collegamentoipertestuale"/>
            <w:rFonts w:cs="Times New Roman"/>
          </w:rPr>
          <w:t>4 bis</w:t>
        </w:r>
      </w:hyperlink>
      <w:r>
        <w:rPr>
          <w:rFonts w:cs="Times New Roman"/>
        </w:rPr>
        <w:t xml:space="preserve"> può essere ammesso al regime di semilibertà anche prima dell'espiazione di metà della pena.</w:t>
      </w:r>
    </w:p>
    <w:p w:rsidR="00C01AFC" w:rsidRDefault="00C01AFC" w:rsidP="00C01AFC">
      <w:pPr>
        <w:pStyle w:val="comma"/>
        <w:spacing w:before="2" w:after="2"/>
        <w:rPr>
          <w:rFonts w:cs="Times New Roman"/>
        </w:rPr>
      </w:pPr>
      <w:r>
        <w:rPr>
          <w:rFonts w:cs="Times New Roman"/>
        </w:rPr>
        <w:t xml:space="preserve">3. Per il computo della durata delle pene non si tiene conto della </w:t>
      </w:r>
      <w:proofErr w:type="gramStart"/>
      <w:r>
        <w:rPr>
          <w:rFonts w:cs="Times New Roman"/>
        </w:rPr>
        <w:t>pena</w:t>
      </w:r>
      <w:proofErr w:type="gramEnd"/>
      <w:r>
        <w:rPr>
          <w:rFonts w:cs="Times New Roman"/>
        </w:rPr>
        <w:t xml:space="preserve"> pecuniaria inflitta congiuntamente a quella detentiva.</w:t>
      </w:r>
    </w:p>
    <w:p w:rsidR="00C01AFC" w:rsidRDefault="00C01AFC" w:rsidP="00C01AFC">
      <w:pPr>
        <w:pStyle w:val="comma"/>
        <w:spacing w:before="2" w:after="2"/>
        <w:rPr>
          <w:rFonts w:cs="Times New Roman"/>
        </w:rPr>
      </w:pPr>
      <w:r>
        <w:rPr>
          <w:rFonts w:cs="Times New Roman"/>
        </w:rPr>
        <w:t xml:space="preserve">4. L'ammissione al regime di semilibertà è disposta </w:t>
      </w:r>
      <w:proofErr w:type="gramStart"/>
      <w:r>
        <w:rPr>
          <w:rFonts w:cs="Times New Roman"/>
        </w:rPr>
        <w:t>in relazione ai</w:t>
      </w:r>
      <w:proofErr w:type="gramEnd"/>
      <w:r>
        <w:rPr>
          <w:rFonts w:cs="Times New Roman"/>
        </w:rPr>
        <w:t xml:space="preserve"> progressi compiuti nel corso del trattamento, quando vi sono le condizioni per un graduale reinserimento del soggetto nella società.</w:t>
      </w:r>
    </w:p>
    <w:p w:rsidR="00C01AFC" w:rsidRDefault="00C01AFC" w:rsidP="00C01AFC">
      <w:pPr>
        <w:pStyle w:val="comma"/>
        <w:spacing w:before="2" w:after="2"/>
        <w:rPr>
          <w:rFonts w:cs="Times New Roman"/>
        </w:rPr>
      </w:pPr>
      <w:r>
        <w:rPr>
          <w:rFonts w:cs="Times New Roman"/>
        </w:rPr>
        <w:t>5. Il condannato all'ergastolo può essere ammesso al regime di semilibertà dopo avere espiato almeno venti anni di pena.</w:t>
      </w:r>
    </w:p>
    <w:p w:rsidR="00C01AFC" w:rsidRDefault="00C01AFC" w:rsidP="00C01AFC">
      <w:pPr>
        <w:pStyle w:val="comma"/>
        <w:spacing w:before="2" w:after="2"/>
        <w:rPr>
          <w:rFonts w:cs="Times New Roman"/>
        </w:rPr>
      </w:pPr>
      <w:r>
        <w:rPr>
          <w:rFonts w:cs="Times New Roman"/>
        </w:rPr>
        <w:t xml:space="preserve">6. Nei casi previsti dal comma </w:t>
      </w:r>
      <w:proofErr w:type="gramStart"/>
      <w:r>
        <w:rPr>
          <w:rFonts w:cs="Times New Roman"/>
        </w:rPr>
        <w:t>1</w:t>
      </w:r>
      <w:proofErr w:type="gramEnd"/>
      <w:r>
        <w:rPr>
          <w:rFonts w:cs="Times New Roman"/>
        </w:rPr>
        <w:t xml:space="preserve">, se il condannato ha dimostrato la propria volontà di reinserimento nella vita sociale, la semilibertà può essere altresì disposta successivamente all'inizio dell'esecuzione della pena. Si applica l'articolo </w:t>
      </w:r>
      <w:hyperlink r:id="rId7" w:history="1">
        <w:r>
          <w:rPr>
            <w:rStyle w:val="Collegamentoipertestuale"/>
            <w:rFonts w:cs="Times New Roman"/>
          </w:rPr>
          <w:t>47</w:t>
        </w:r>
      </w:hyperlink>
      <w:r>
        <w:rPr>
          <w:rFonts w:cs="Times New Roman"/>
        </w:rPr>
        <w:t xml:space="preserve">, comma </w:t>
      </w:r>
      <w:proofErr w:type="gramStart"/>
      <w:r>
        <w:rPr>
          <w:rFonts w:cs="Times New Roman"/>
        </w:rPr>
        <w:t>4</w:t>
      </w:r>
      <w:proofErr w:type="gramEnd"/>
      <w:r>
        <w:rPr>
          <w:rFonts w:cs="Times New Roman"/>
        </w:rPr>
        <w:t>, in quanto compatibile</w:t>
      </w:r>
      <w:hyperlink r:id="rId8" w:anchor="nota_21788" w:history="1">
        <w:r>
          <w:rPr>
            <w:rStyle w:val="Collegamentoipertestuale"/>
            <w:rFonts w:cs="Times New Roman"/>
            <w:vertAlign w:val="superscript"/>
          </w:rPr>
          <w:t>(1)</w:t>
        </w:r>
      </w:hyperlink>
      <w:r>
        <w:rPr>
          <w:rFonts w:cs="Times New Roman"/>
        </w:rPr>
        <w:t>.</w:t>
      </w:r>
    </w:p>
    <w:p w:rsidR="00C01AFC" w:rsidRDefault="00C01AFC" w:rsidP="00C01AFC">
      <w:pPr>
        <w:pStyle w:val="comma"/>
        <w:spacing w:before="2" w:after="2"/>
        <w:rPr>
          <w:rFonts w:cs="Times New Roman"/>
        </w:rPr>
      </w:pPr>
      <w:r>
        <w:rPr>
          <w:rFonts w:cs="Times New Roman"/>
        </w:rPr>
        <w:t xml:space="preserve">7. Se l'ammissione alla semilibertà riguarda una detenuta madre di un figlio di età inferiore a tre anni, essa ha diritto di usufruire della casa per la semilibertà di cui all'ultimo comma dell'articolo </w:t>
      </w:r>
      <w:proofErr w:type="gramStart"/>
      <w:r>
        <w:rPr>
          <w:rFonts w:cs="Times New Roman"/>
        </w:rPr>
        <w:t>92</w:t>
      </w:r>
      <w:proofErr w:type="gramEnd"/>
      <w:r>
        <w:rPr>
          <w:rFonts w:cs="Times New Roman"/>
        </w:rPr>
        <w:t xml:space="preserve"> del decreto del Presidente della Repubblica 29 aprile 1976, n. 431.</w:t>
      </w:r>
    </w:p>
    <w:p w:rsidR="00A50EE1" w:rsidRDefault="00C01AFC" w:rsidP="00C01AFC">
      <w:pPr>
        <w:pStyle w:val="comma"/>
        <w:spacing w:before="2" w:after="2"/>
      </w:pPr>
    </w:p>
    <w:sectPr w:rsidR="00A50EE1" w:rsidSect="00A50EE1">
      <w:pgSz w:w="11900" w:h="16840"/>
      <w:pgMar w:top="1417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grammar="clean"/>
  <w:doNotTrackMoves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4158C"/>
    <w:rsid w:val="00C01AFC"/>
    <w:rsid w:val="00F4158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2DEC"/>
  </w:style>
  <w:style w:type="paragraph" w:styleId="Titolo1">
    <w:name w:val="heading 1"/>
    <w:basedOn w:val="Normale"/>
    <w:link w:val="Titolo1Carattere"/>
    <w:uiPriority w:val="9"/>
    <w:rsid w:val="00F4158C"/>
    <w:pPr>
      <w:spacing w:beforeLines="1" w:afterLines="1"/>
      <w:outlineLvl w:val="0"/>
    </w:pPr>
    <w:rPr>
      <w:rFonts w:ascii="Times" w:hAnsi="Times"/>
      <w:b/>
      <w:kern w:val="36"/>
      <w:sz w:val="48"/>
      <w:szCs w:val="20"/>
      <w:lang w:eastAsia="it-IT"/>
    </w:rPr>
  </w:style>
  <w:style w:type="paragraph" w:styleId="Titolo2">
    <w:name w:val="heading 2"/>
    <w:basedOn w:val="Normale"/>
    <w:link w:val="Titolo2Carattere"/>
    <w:uiPriority w:val="9"/>
    <w:rsid w:val="00F4158C"/>
    <w:pPr>
      <w:spacing w:beforeLines="1" w:afterLines="1"/>
      <w:outlineLvl w:val="1"/>
    </w:pPr>
    <w:rPr>
      <w:rFonts w:ascii="Times" w:hAnsi="Times"/>
      <w:b/>
      <w:sz w:val="36"/>
      <w:szCs w:val="20"/>
      <w:lang w:eastAsia="it-IT"/>
    </w:rPr>
  </w:style>
  <w:style w:type="paragraph" w:styleId="Titolo3">
    <w:name w:val="heading 3"/>
    <w:basedOn w:val="Normale"/>
    <w:link w:val="Titolo3Carattere"/>
    <w:uiPriority w:val="9"/>
    <w:rsid w:val="00F4158C"/>
    <w:pPr>
      <w:spacing w:beforeLines="1" w:afterLines="1"/>
      <w:outlineLvl w:val="2"/>
    </w:pPr>
    <w:rPr>
      <w:rFonts w:ascii="Times" w:hAnsi="Times"/>
      <w:b/>
      <w:sz w:val="27"/>
      <w:szCs w:val="20"/>
      <w:lang w:eastAsia="it-IT"/>
    </w:rPr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  <w:style w:type="character" w:customStyle="1" w:styleId="Titolo1Carattere">
    <w:name w:val="Titolo 1 Carattere"/>
    <w:basedOn w:val="Caratterepredefinitoparagrafo"/>
    <w:link w:val="Titolo1"/>
    <w:uiPriority w:val="9"/>
    <w:rsid w:val="00F4158C"/>
    <w:rPr>
      <w:rFonts w:ascii="Times" w:hAnsi="Times"/>
      <w:b/>
      <w:kern w:val="36"/>
      <w:sz w:val="48"/>
      <w:szCs w:val="20"/>
      <w:lang w:eastAsia="it-IT"/>
    </w:rPr>
  </w:style>
  <w:style w:type="character" w:customStyle="1" w:styleId="Titolo2Carattere">
    <w:name w:val="Titolo 2 Carattere"/>
    <w:basedOn w:val="Caratterepredefinitoparagrafo"/>
    <w:link w:val="Titolo2"/>
    <w:uiPriority w:val="9"/>
    <w:rsid w:val="00F4158C"/>
    <w:rPr>
      <w:rFonts w:ascii="Times" w:hAnsi="Times"/>
      <w:b/>
      <w:sz w:val="36"/>
      <w:szCs w:val="20"/>
      <w:lang w:eastAsia="it-IT"/>
    </w:rPr>
  </w:style>
  <w:style w:type="character" w:customStyle="1" w:styleId="Titolo3Carattere">
    <w:name w:val="Titolo 3 Carattere"/>
    <w:basedOn w:val="Caratterepredefinitoparagrafo"/>
    <w:link w:val="Titolo3"/>
    <w:uiPriority w:val="9"/>
    <w:rsid w:val="00F4158C"/>
    <w:rPr>
      <w:rFonts w:ascii="Times" w:hAnsi="Times"/>
      <w:b/>
      <w:sz w:val="27"/>
      <w:szCs w:val="20"/>
      <w:lang w:eastAsia="it-IT"/>
    </w:rPr>
  </w:style>
  <w:style w:type="paragraph" w:customStyle="1" w:styleId="comma">
    <w:name w:val="comma"/>
    <w:basedOn w:val="Normale"/>
    <w:rsid w:val="00F4158C"/>
    <w:pPr>
      <w:spacing w:beforeLines="1" w:afterLines="1"/>
    </w:pPr>
    <w:rPr>
      <w:rFonts w:ascii="Times" w:hAnsi="Times"/>
      <w:sz w:val="20"/>
      <w:szCs w:val="20"/>
      <w:lang w:eastAsia="it-IT"/>
    </w:rPr>
  </w:style>
  <w:style w:type="character" w:styleId="Collegamentoipertestuale">
    <w:name w:val="Hyperlink"/>
    <w:basedOn w:val="Caratterepredefinitoparagrafo"/>
    <w:uiPriority w:val="99"/>
    <w:rsid w:val="00F415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7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26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4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s://www.brocardi.it/legge-ordinamento-penitenziario/titolo-i/capo-i/art4bis.html" TargetMode="External"/><Relationship Id="rId5" Type="http://schemas.openxmlformats.org/officeDocument/2006/relationships/hyperlink" Target="https://www.brocardi.it/legge-ordinamento-penitenziario/titolo-i/capo-vi/art47.html" TargetMode="External"/><Relationship Id="rId6" Type="http://schemas.openxmlformats.org/officeDocument/2006/relationships/hyperlink" Target="https://www.brocardi.it/legge-ordinamento-penitenziario/titolo-i/capo-i/art4bis.html" TargetMode="External"/><Relationship Id="rId7" Type="http://schemas.openxmlformats.org/officeDocument/2006/relationships/hyperlink" Target="https://www.brocardi.it/legge-ordinamento-penitenziario/titolo-i/capo-vi/art47.html" TargetMode="External"/><Relationship Id="rId8" Type="http://schemas.openxmlformats.org/officeDocument/2006/relationships/hyperlink" Target="https://www.brocardi.it/legge-ordinamento-penitenziario/titolo-i/capo-vi/art50.html?utm_source=internal&amp;utm_medium=link&amp;utm_campaign=articolo&amp;utm_content=nav_art_succ_dispositivo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Company>...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Chiuchiolo</dc:creator>
  <cp:keywords/>
  <cp:lastModifiedBy>Massimiliano Chiuchiolo</cp:lastModifiedBy>
  <cp:revision>2</cp:revision>
  <dcterms:created xsi:type="dcterms:W3CDTF">2025-05-06T11:37:00Z</dcterms:created>
  <dcterms:modified xsi:type="dcterms:W3CDTF">2025-05-06T11:37:00Z</dcterms:modified>
</cp:coreProperties>
</file>